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DOCUMENTACIÓN OBLIGATORIA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Los y las postulantes deberán presentar la siguiente documentación obligatoria en formato digital: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postulación el cual incluirá: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Datos de todos los integrantes y sus roles dentro del equipo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Vínculo con la Universidad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Tipo de proyecto (Investigación, desarrollo propio, tesis o Trabajo Práctico)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Estado de desarrollo: Se sugiere utilizar el formato de desarrollo TRL (Grado de Maduración Tecnológica) y serán considerados aquellos con TRL de al menos nivel 3: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Temática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Ámbito de aplicación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Grado de Innovación: se entiende por innovación a la introducción al mercado de un bien (producto o servicio) o proceso nuevo o significativamente mejorado en cuanto a sus características técnicas, uso u otras funcionalidades.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Documentación que respalda el proyecto que puede incluir: Publicaciones, imágenes, vídeos, Potencial de mercado, Modelo de negocios o todo aquel contenido que permita evaluar el desarrollo, el cumplimiento de los objetivos del proyecto y el grado de innovación.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Cronograma de trabajo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Presupuesto detallado para el gasto del subsidio.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Aval de la Unidad Académica donde está radicado el proyecto o la persona que participa.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Curriculum vitae de todos los integrantes y documentación respaldatoria (En caso de ser estudiante comprobante de alumno/a regular, en caso de docentes deberán incorporar resolución de designación, en el caso de no-docente resolución de designación en el cargo; en el caso de becarios/as su resolución de beca, etc).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